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7F26E8F6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4844A0">
        <w:rPr>
          <w:rFonts w:cs="Courier New"/>
          <w:b/>
          <w:sz w:val="24"/>
          <w:szCs w:val="24"/>
          <w:u w:val="single"/>
        </w:rPr>
        <w:t>1</w:t>
      </w:r>
      <w:r w:rsidR="00480354">
        <w:rPr>
          <w:rFonts w:cs="Courier New"/>
          <w:b/>
          <w:sz w:val="24"/>
          <w:szCs w:val="24"/>
          <w:u w:val="single"/>
        </w:rPr>
        <w:t>7</w:t>
      </w:r>
    </w:p>
    <w:p w14:paraId="1CA7F67E" w14:textId="400350FB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APPROVING EXPENDITURES FOR THE MONTH OF</w:t>
      </w:r>
      <w:r w:rsidR="00B5122A">
        <w:rPr>
          <w:rFonts w:cs="Courier New"/>
          <w:b/>
          <w:sz w:val="24"/>
          <w:szCs w:val="24"/>
        </w:rPr>
        <w:t xml:space="preserve"> </w:t>
      </w:r>
      <w:r w:rsidR="00480354">
        <w:rPr>
          <w:rFonts w:cs="Courier New"/>
          <w:b/>
          <w:sz w:val="24"/>
          <w:szCs w:val="24"/>
        </w:rPr>
        <w:t>AUGUST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03C99F28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480354">
        <w:rPr>
          <w:rFonts w:eastAsia="Cambria" w:cs="Courier New"/>
          <w:sz w:val="24"/>
          <w:szCs w:val="24"/>
        </w:rPr>
        <w:t xml:space="preserve">August 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on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480354">
        <w:rPr>
          <w:rFonts w:eastAsia="Cambria" w:cs="Courier New"/>
          <w:sz w:val="24"/>
          <w:szCs w:val="24"/>
        </w:rPr>
        <w:t>31,810.18</w:t>
      </w:r>
      <w:r w:rsidR="006A52D5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7B488CCF" w14:textId="172D3954" w:rsidR="00B5122A" w:rsidRDefault="00AA540A" w:rsidP="00B5122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802EC2">
        <w:rPr>
          <w:rFonts w:eastAsia="Cambria" w:cs="Courier New"/>
          <w:sz w:val="24"/>
          <w:szCs w:val="24"/>
        </w:rPr>
        <w:t>July 15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</w:t>
      </w:r>
      <w:r w:rsidR="00B5122A">
        <w:rPr>
          <w:rFonts w:eastAsia="Cambria" w:cs="Courier New"/>
          <w:sz w:val="24"/>
          <w:szCs w:val="24"/>
        </w:rPr>
        <w:t xml:space="preserve"> </w:t>
      </w:r>
    </w:p>
    <w:p w14:paraId="05A160A7" w14:textId="6A600BE4" w:rsidR="00430C07" w:rsidRDefault="004B4AA1" w:rsidP="00B5122A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sz w:val="24"/>
          <w:szCs w:val="24"/>
        </w:rPr>
        <w:t>$</w:t>
      </w:r>
      <w:r w:rsidR="00480354">
        <w:rPr>
          <w:rFonts w:eastAsia="Cambria" w:cs="Courier New"/>
          <w:sz w:val="24"/>
          <w:szCs w:val="24"/>
        </w:rPr>
        <w:t>31,810.18.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4BA522B1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</w:r>
    </w:p>
    <w:p w14:paraId="0377F465" w14:textId="1930B6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</w:p>
    <w:p w14:paraId="2345533A" w14:textId="7CDD8E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1190B18C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  <w:t>x</w:t>
      </w:r>
    </w:p>
    <w:p w14:paraId="5CAAC71F" w14:textId="5AB8402B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32CB4D95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480354">
        <w:rPr>
          <w:rFonts w:cs="Courier New"/>
          <w:sz w:val="24"/>
          <w:szCs w:val="24"/>
        </w:rPr>
        <w:t>August 19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002D596F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480354">
        <w:rPr>
          <w:rFonts w:cs="Courier New"/>
          <w:sz w:val="24"/>
          <w:szCs w:val="24"/>
          <w:u w:val="single"/>
        </w:rPr>
        <w:t>August 19</w:t>
      </w:r>
      <w:r w:rsidR="00A052AA">
        <w:rPr>
          <w:rFonts w:cs="Courier New"/>
          <w:sz w:val="24"/>
          <w:szCs w:val="24"/>
          <w:u w:val="single"/>
        </w:rPr>
        <w:t>, 2025</w:t>
      </w:r>
      <w:r>
        <w:rPr>
          <w:rFonts w:cs="Courier New"/>
          <w:sz w:val="24"/>
          <w:szCs w:val="24"/>
          <w:u w:val="single"/>
        </w:rPr>
        <w:t>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56FB"/>
    <w:rsid w:val="00006737"/>
    <w:rsid w:val="00027F47"/>
    <w:rsid w:val="00035D16"/>
    <w:rsid w:val="00044B24"/>
    <w:rsid w:val="00051C80"/>
    <w:rsid w:val="00054B0D"/>
    <w:rsid w:val="0008372B"/>
    <w:rsid w:val="00084582"/>
    <w:rsid w:val="00087979"/>
    <w:rsid w:val="00095F6F"/>
    <w:rsid w:val="000D7859"/>
    <w:rsid w:val="000E0AB2"/>
    <w:rsid w:val="00122F9B"/>
    <w:rsid w:val="00151612"/>
    <w:rsid w:val="001A53B0"/>
    <w:rsid w:val="001B1EAE"/>
    <w:rsid w:val="001B3E56"/>
    <w:rsid w:val="001E0CFE"/>
    <w:rsid w:val="001F47DD"/>
    <w:rsid w:val="001F4FBB"/>
    <w:rsid w:val="002037D4"/>
    <w:rsid w:val="00214B86"/>
    <w:rsid w:val="00215E84"/>
    <w:rsid w:val="0021703E"/>
    <w:rsid w:val="00222478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57DE"/>
    <w:rsid w:val="0030734F"/>
    <w:rsid w:val="0035034E"/>
    <w:rsid w:val="00357FB6"/>
    <w:rsid w:val="00370051"/>
    <w:rsid w:val="003865D5"/>
    <w:rsid w:val="00395D9E"/>
    <w:rsid w:val="003A10A1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0354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A52D5"/>
    <w:rsid w:val="00704845"/>
    <w:rsid w:val="00723F3E"/>
    <w:rsid w:val="0073753B"/>
    <w:rsid w:val="0074024E"/>
    <w:rsid w:val="007628A7"/>
    <w:rsid w:val="007B6344"/>
    <w:rsid w:val="007C4ACE"/>
    <w:rsid w:val="007C5FEE"/>
    <w:rsid w:val="007D0E46"/>
    <w:rsid w:val="007F6F89"/>
    <w:rsid w:val="00802EC2"/>
    <w:rsid w:val="008206B4"/>
    <w:rsid w:val="0083010A"/>
    <w:rsid w:val="00830801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5122A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869FC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41B6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11401"/>
    <w:rsid w:val="00F3340A"/>
    <w:rsid w:val="00F42559"/>
    <w:rsid w:val="00F43557"/>
    <w:rsid w:val="00F81178"/>
    <w:rsid w:val="00F85A57"/>
    <w:rsid w:val="00FA04C3"/>
    <w:rsid w:val="00FA5BE4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1</TotalTime>
  <Pages>1</Pages>
  <Words>240</Words>
  <Characters>1218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2025-11-06T16:40:00Z</dcterms:created>
  <dcterms:modified xsi:type="dcterms:W3CDTF">2025-11-06T16:40:00Z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